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CBF" w:rsidRPr="00F6077A" w:rsidRDefault="00F05202" w:rsidP="00C150D3">
      <w:pPr>
        <w:pStyle w:val="Title"/>
        <w:spacing w:after="0" w:line="240" w:lineRule="auto"/>
        <w:ind w:left="142"/>
        <w:jc w:val="both"/>
        <w:rPr>
          <w:caps w:val="0"/>
          <w:sz w:val="16"/>
          <w:szCs w:val="18"/>
          <w:lang w:val="id-ID"/>
        </w:rPr>
      </w:pPr>
      <w:r w:rsidRPr="00F05202">
        <w:rPr>
          <w:rFonts w:ascii="Times New Roman"/>
          <w:noProof/>
          <w:sz w:val="18"/>
        </w:rPr>
      </w:r>
      <w:r w:rsidRPr="00F05202">
        <w:rPr>
          <w:rFonts w:ascii="Times New Roman"/>
          <w:noProof/>
          <w:sz w:val="18"/>
        </w:rPr>
        <w:pict>
          <v:group id="Group 2" o:spid="_x0000_s1026" style="width:512.15pt;height:66.65pt;mso-position-horizontal-relative:char;mso-position-vertical-relative:line" coordsize="10243,16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">
            <v:line id="Line 3" o:spid="_x0000_s1027" style="position:absolute;visibility:visible" from="1987,6" to="1987,14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2M20sAAAADaAAAADwAAAGRycy9kb3ducmV2LnhtbESPT4vCMBTE7wt+h/AEb2tqDypdY1Fh&#10;Wa/+w+uzedt0t3kpTar12xtB8DjMzG+YRd7bWlyp9ZVjBZNxAoK4cLriUsHx8P05B+EDssbaMSm4&#10;k4d8OfhYYKbdjXd03YdSRAj7DBWYEJpMSl8YsujHriGO3q9rLYYo21LqFm8RbmuZJslUWqw4Lhhs&#10;aGOo+N93VoEzf6ef/nw/mpPxh8uum61TP1NqNOxXXyAC9eEdfrW3WkEKzyvxBsjl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JtjNtLAAAAA2gAAAA8AAAAAAAAAAAAAAAAA&#10;oQIAAGRycy9kb3ducmV2LnhtbFBLBQYAAAAABAAEAPkAAACOAwAAAAA=&#10;" strokecolor="#1598cb" strokeweight=".48pt"/>
            <v:rect id="Rectangle 4" o:spid="_x0000_s1028" style="position:absolute;left:52;top:1469;width:908;height:19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4DQ5wgAA&#10;ANoAAAAPAAAAZHJzL2Rvd25yZXYueG1sRI9Bi8IwFITvwv6H8Ba8abqriHSNItoF8SJa8fy2ebbF&#10;5qXbpFr/vREEj8PMfMPMFp2pxJUaV1pW8DWMQBBnVpecKzimv4MpCOeRNVaWScGdHCzmH70Zxtre&#10;eE/Xg89FgLCLUUHhfR1L6bKCDLqhrYmDd7aNQR9kk0vd4C3ATSW/o2giDZYcFgqsaVVQdjm0RsF/&#10;O1qd1mOMdltu13/JJrmkyVGp/me3/AHhqfPv8Ku90QpG8LwSboCc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XgNDnCAAAA2gAAAA8AAAAAAAAAAAAAAAAAlwIAAGRycy9kb3du&#10;cmV2LnhtbFBLBQYAAAAABAAEAPUAAACGAwAAAAA=&#10;" fillcolor="#d9f1fb" stroked="f"/>
            <v:rect id="Rectangle 5" o:spid="_x0000_s1029" style="position:absolute;left:959;top:1469;width:9284;height:19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CaxNwwAA&#10;ANoAAAAPAAAAZHJzL2Rvd25yZXYueG1sRI9Ba8JAFITvBf/D8oTe6kYbSomuQWKE0EupSs/P7DMJ&#10;Zt/G7EbTf98tFDwOM/MNs0pH04ob9a6xrGA+i0AQl1Y3XCk4HnYv7yCcR9bYWiYFP+QgXU+eVpho&#10;e+cvuu19JQKEXYIKau+7REpX1mTQzWxHHLyz7Q36IPtK6h7vAW5auYiiN2mw4bBQY0dZTeVlPxgF&#10;1+E1+97GGH1+8LA95UV+OeRHpZ6n42YJwtPoH+H/dqEVxPB3JdwAuf4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qCaxNwwAAANoAAAAPAAAAAAAAAAAAAAAAAJcCAABkcnMvZG93&#10;bnJldi54bWxQSwUGAAAAAAQABAD1AAAAhwMAAAAA&#10;" fillcolor="#d9f1fb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width:10243;height:166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Zw8vwwAA&#10;ANoAAAAPAAAAZHJzL2Rvd25yZXYueG1sRI9Ba8JAFITvBf/D8gRvdWNBqdFVRCwUhGKMB4/P7DNZ&#10;zL6N2a3Gf98VCh6HmfmGmS87W4sbtd44VjAaJiCIC6cNlwoO+df7JwgfkDXWjknBgzwsF723Oaba&#10;3Tmj2z6UIkLYp6igCqFJpfRFRRb90DXE0Tu71mKIsi2lbvEe4baWH0kykRYNx4UKG1pXVFz2v1bB&#10;6sjZxlx/TrvsnJk8nya8nVyUGvS71QxEoC68wv/tb61gDM8r8Qb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Zw8vwwAAANoAAAAPAAAAAAAAAAAAAAAAAJcCAABkcnMvZG93&#10;bnJldi54bWxQSwUGAAAAAAQABAD1AAAAhwMAAAAA&#10;" filled="f" stroked="f">
              <v:textbox inset="0,0,0,0">
                <w:txbxContent>
                  <w:p w:rsidR="007E4CBF" w:rsidRPr="00B95065" w:rsidRDefault="007E4CBF" w:rsidP="00F6077A">
                    <w:pPr>
                      <w:spacing w:before="4"/>
                      <w:rPr>
                        <w:rFonts w:ascii="Impact"/>
                        <w:sz w:val="72"/>
                      </w:rPr>
                    </w:pPr>
                    <w:r>
                      <w:rPr>
                        <w:rFonts w:ascii="Impact"/>
                        <w:color w:val="1598CB"/>
                        <w:position w:val="-9"/>
                        <w:sz w:val="120"/>
                      </w:rPr>
                      <w:t xml:space="preserve">SOP </w:t>
                    </w:r>
                    <w:r w:rsidRPr="00B95065">
                      <w:rPr>
                        <w:rFonts w:ascii="Impact"/>
                        <w:color w:val="434343"/>
                        <w:sz w:val="72"/>
                      </w:rPr>
                      <w:t>MELAKSANAKAN ASESMEN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E4CBF" w:rsidRPr="00F6077A" w:rsidRDefault="007E4CBF" w:rsidP="00C150D3">
      <w:pPr>
        <w:pStyle w:val="Title"/>
        <w:spacing w:after="0" w:line="240" w:lineRule="auto"/>
        <w:ind w:left="142"/>
        <w:jc w:val="both"/>
        <w:rPr>
          <w:caps w:val="0"/>
          <w:sz w:val="16"/>
          <w:szCs w:val="18"/>
          <w:lang w:val="id-ID"/>
        </w:rPr>
      </w:pPr>
    </w:p>
    <w:tbl>
      <w:tblPr>
        <w:tblStyle w:val="TableGrid"/>
        <w:tblW w:w="0" w:type="auto"/>
        <w:tblInd w:w="25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/>
      </w:tblPr>
      <w:tblGrid>
        <w:gridCol w:w="3861"/>
        <w:gridCol w:w="6487"/>
      </w:tblGrid>
      <w:tr w:rsidR="007E4CBF" w:rsidRPr="00F6077A" w:rsidTr="00B9702C">
        <w:tc>
          <w:tcPr>
            <w:tcW w:w="3861" w:type="dxa"/>
          </w:tcPr>
          <w:p w:rsidR="007E4CBF" w:rsidRPr="00F6077A" w:rsidRDefault="007E4CBF" w:rsidP="00C150D3">
            <w:pPr>
              <w:pStyle w:val="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caps w:val="0"/>
                <w:sz w:val="22"/>
                <w:szCs w:val="18"/>
                <w:lang w:val="id-ID"/>
              </w:rPr>
            </w:pPr>
            <w:r w:rsidRPr="00F6077A">
              <w:rPr>
                <w:rFonts w:ascii="Arial"/>
                <w:b w:val="0"/>
                <w:sz w:val="22"/>
                <w:szCs w:val="18"/>
                <w:lang w:val="id-ID"/>
              </w:rPr>
              <w:t>Penanggung jawab Asesmen:</w:t>
            </w:r>
          </w:p>
        </w:tc>
        <w:tc>
          <w:tcPr>
            <w:tcW w:w="6487" w:type="dxa"/>
          </w:tcPr>
          <w:p w:rsidR="007E4CBF" w:rsidRPr="00B9702C" w:rsidRDefault="00B9702C" w:rsidP="00C150D3">
            <w:pPr>
              <w:pStyle w:val="Title"/>
              <w:spacing w:after="0" w:line="240" w:lineRule="auto"/>
              <w:jc w:val="both"/>
              <w:rPr>
                <w:caps w:val="0"/>
                <w:sz w:val="22"/>
                <w:szCs w:val="18"/>
              </w:rPr>
            </w:pPr>
            <w:r>
              <w:rPr>
                <w:rFonts w:ascii="Arial"/>
                <w:sz w:val="22"/>
                <w:szCs w:val="18"/>
              </w:rPr>
              <w:t>intan amanah</w:t>
            </w:r>
          </w:p>
        </w:tc>
      </w:tr>
      <w:tr w:rsidR="007E4CBF" w:rsidRPr="00F6077A" w:rsidTr="00B9702C">
        <w:tc>
          <w:tcPr>
            <w:tcW w:w="3861" w:type="dxa"/>
          </w:tcPr>
          <w:p w:rsidR="007E4CBF" w:rsidRPr="00F6077A" w:rsidRDefault="007E4CBF" w:rsidP="00C150D3">
            <w:pPr>
              <w:pStyle w:val="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caps w:val="0"/>
                <w:sz w:val="22"/>
                <w:szCs w:val="18"/>
                <w:lang w:val="id-ID"/>
              </w:rPr>
            </w:pPr>
            <w:r w:rsidRPr="00F6077A">
              <w:rPr>
                <w:rFonts w:ascii="Arial"/>
                <w:b w:val="0"/>
                <w:sz w:val="22"/>
                <w:szCs w:val="18"/>
                <w:lang w:val="id-ID"/>
              </w:rPr>
              <w:t>Area fungsi:</w:t>
            </w:r>
          </w:p>
        </w:tc>
        <w:tc>
          <w:tcPr>
            <w:tcW w:w="6487" w:type="dxa"/>
          </w:tcPr>
          <w:p w:rsidR="007E4CBF" w:rsidRPr="00F6077A" w:rsidRDefault="007E4CBF" w:rsidP="00C150D3">
            <w:pPr>
              <w:pStyle w:val="Title"/>
              <w:spacing w:after="0" w:line="240" w:lineRule="auto"/>
              <w:jc w:val="both"/>
              <w:rPr>
                <w:caps w:val="0"/>
                <w:sz w:val="22"/>
                <w:szCs w:val="18"/>
                <w:lang w:val="id-ID"/>
              </w:rPr>
            </w:pPr>
            <w:r w:rsidRPr="00F6077A">
              <w:rPr>
                <w:rFonts w:ascii="Arial"/>
                <w:b w:val="0"/>
                <w:sz w:val="22"/>
                <w:szCs w:val="18"/>
                <w:lang w:val="id-ID"/>
              </w:rPr>
              <w:t>Pendidikan dan Pelatihan</w:t>
            </w:r>
          </w:p>
        </w:tc>
      </w:tr>
      <w:tr w:rsidR="007E4CBF" w:rsidRPr="00F6077A" w:rsidTr="00B9702C">
        <w:trPr>
          <w:trHeight w:val="178"/>
        </w:trPr>
        <w:tc>
          <w:tcPr>
            <w:tcW w:w="3861" w:type="dxa"/>
          </w:tcPr>
          <w:p w:rsidR="007E4CBF" w:rsidRPr="00F6077A" w:rsidRDefault="007E4CBF" w:rsidP="00C150D3">
            <w:pPr>
              <w:pStyle w:val="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caps w:val="0"/>
                <w:sz w:val="22"/>
                <w:szCs w:val="18"/>
                <w:lang w:val="id-ID"/>
              </w:rPr>
            </w:pPr>
            <w:r w:rsidRPr="00F6077A">
              <w:rPr>
                <w:rFonts w:ascii="Arial"/>
                <w:b w:val="0"/>
                <w:sz w:val="22"/>
                <w:szCs w:val="18"/>
                <w:lang w:val="id-ID"/>
              </w:rPr>
              <w:t>Referensi:</w:t>
            </w:r>
          </w:p>
        </w:tc>
        <w:tc>
          <w:tcPr>
            <w:tcW w:w="6487" w:type="dxa"/>
          </w:tcPr>
          <w:p w:rsidR="007E4CBF" w:rsidRPr="00F6077A" w:rsidRDefault="007E4CBF" w:rsidP="00C150D3">
            <w:pPr>
              <w:pStyle w:val="Title"/>
              <w:spacing w:after="0" w:line="240" w:lineRule="auto"/>
              <w:jc w:val="both"/>
              <w:rPr>
                <w:caps w:val="0"/>
                <w:sz w:val="22"/>
                <w:szCs w:val="18"/>
                <w:lang w:val="id-ID"/>
              </w:rPr>
            </w:pPr>
            <w:r w:rsidRPr="00F6077A">
              <w:rPr>
                <w:rFonts w:ascii="Arial"/>
                <w:b w:val="0"/>
                <w:sz w:val="22"/>
                <w:szCs w:val="18"/>
                <w:lang w:val="id-ID"/>
              </w:rPr>
              <w:t xml:space="preserve">SKKNI P.85ASM00.03.2 </w:t>
            </w:r>
          </w:p>
        </w:tc>
      </w:tr>
    </w:tbl>
    <w:tbl>
      <w:tblPr>
        <w:tblW w:w="10348" w:type="dxa"/>
        <w:tblInd w:w="222" w:type="dxa"/>
        <w:tblBorders>
          <w:top w:val="single" w:sz="4" w:space="0" w:color="DEEAF6" w:themeColor="accent1" w:themeTint="33"/>
          <w:left w:val="single" w:sz="4" w:space="0" w:color="DEEAF6" w:themeColor="accent1" w:themeTint="33"/>
          <w:bottom w:val="single" w:sz="4" w:space="0" w:color="DEEAF6" w:themeColor="accent1" w:themeTint="33"/>
          <w:right w:val="single" w:sz="4" w:space="0" w:color="DEEAF6" w:themeColor="accent1" w:themeTint="33"/>
          <w:insideH w:val="single" w:sz="4" w:space="0" w:color="DEEAF6" w:themeColor="accent1" w:themeTint="33"/>
          <w:insideV w:val="single" w:sz="4" w:space="0" w:color="DEEAF6" w:themeColor="accent1" w:themeTint="33"/>
        </w:tblBorders>
        <w:shd w:val="clear" w:color="auto" w:fill="00A2D7"/>
        <w:tblLayout w:type="fixed"/>
        <w:tblLook w:val="04A0"/>
      </w:tblPr>
      <w:tblGrid>
        <w:gridCol w:w="1559"/>
        <w:gridCol w:w="6521"/>
        <w:gridCol w:w="1134"/>
        <w:gridCol w:w="1134"/>
      </w:tblGrid>
      <w:tr w:rsidR="007E4CBF" w:rsidRPr="00F6077A" w:rsidTr="00B9702C">
        <w:trPr>
          <w:trHeight w:val="104"/>
          <w:tblHeader/>
        </w:trPr>
        <w:tc>
          <w:tcPr>
            <w:tcW w:w="1559" w:type="dxa"/>
            <w:tcBorders>
              <w:top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00A2D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FD4317">
            <w:pPr>
              <w:pStyle w:val="TableStyle1"/>
              <w:jc w:val="center"/>
              <w:rPr>
                <w:rFonts w:ascii="Impact" w:hAnsi="Impact"/>
                <w:color w:val="000000" w:themeColor="text1"/>
                <w:sz w:val="22"/>
                <w:szCs w:val="18"/>
                <w:lang w:val="id-ID"/>
              </w:rPr>
            </w:pPr>
            <w:r w:rsidRPr="00F6077A">
              <w:rPr>
                <w:rFonts w:ascii="Impact"/>
                <w:color w:val="FFFFFF"/>
                <w:w w:val="105"/>
                <w:sz w:val="22"/>
                <w:szCs w:val="18"/>
                <w:lang w:val="id-ID"/>
              </w:rPr>
              <w:t>PROSES</w:t>
            </w:r>
          </w:p>
        </w:tc>
        <w:tc>
          <w:tcPr>
            <w:tcW w:w="6521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00A2D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FD4317">
            <w:pPr>
              <w:pStyle w:val="TableStyle1"/>
              <w:jc w:val="center"/>
              <w:rPr>
                <w:rFonts w:ascii="Impact" w:hAnsi="Impact"/>
                <w:color w:val="000000" w:themeColor="text1"/>
                <w:sz w:val="22"/>
                <w:szCs w:val="18"/>
                <w:lang w:val="id-ID"/>
              </w:rPr>
            </w:pPr>
            <w:r w:rsidRPr="00F6077A">
              <w:rPr>
                <w:rFonts w:ascii="Impact"/>
                <w:color w:val="FFFFFF"/>
                <w:w w:val="105"/>
                <w:sz w:val="22"/>
                <w:szCs w:val="18"/>
                <w:lang w:val="id-ID"/>
              </w:rPr>
              <w:t>INSTRUKSI KERJA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00A2D7"/>
          </w:tcPr>
          <w:p w:rsidR="007E4CBF" w:rsidRPr="00F6077A" w:rsidRDefault="007E4CBF" w:rsidP="00FD4317">
            <w:pPr>
              <w:pStyle w:val="TableStyle1"/>
              <w:jc w:val="center"/>
              <w:rPr>
                <w:rFonts w:ascii="Impact" w:eastAsia="Arial Unicode MS" w:hAnsi="Impact" w:cs="Arial Unicode MS"/>
                <w:color w:val="000000" w:themeColor="text1"/>
                <w:sz w:val="22"/>
                <w:szCs w:val="18"/>
                <w:lang w:val="id-ID"/>
              </w:rPr>
            </w:pPr>
            <w:r w:rsidRPr="00F6077A">
              <w:rPr>
                <w:rFonts w:ascii="Impact"/>
                <w:color w:val="FFFFFF"/>
                <w:w w:val="105"/>
                <w:sz w:val="22"/>
                <w:szCs w:val="18"/>
                <w:lang w:val="id-ID"/>
              </w:rPr>
              <w:t>SARANA/ALAT/</w:t>
            </w:r>
            <w:r w:rsidR="00B9702C">
              <w:rPr>
                <w:rFonts w:ascii="Impact"/>
                <w:color w:val="FFFFFF"/>
                <w:w w:val="105"/>
                <w:sz w:val="22"/>
                <w:szCs w:val="18"/>
                <w:lang w:val="en-US"/>
              </w:rPr>
              <w:t xml:space="preserve"> </w:t>
            </w:r>
            <w:r w:rsidRPr="00F6077A">
              <w:rPr>
                <w:rFonts w:ascii="Impact"/>
                <w:color w:val="FFFFFF"/>
                <w:w w:val="105"/>
                <w:sz w:val="22"/>
                <w:szCs w:val="18"/>
                <w:lang w:val="id-ID"/>
              </w:rPr>
              <w:t>MEDIA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00A2D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FD4317">
            <w:pPr>
              <w:pStyle w:val="TableStyle1"/>
              <w:jc w:val="center"/>
              <w:rPr>
                <w:rFonts w:ascii="Impact" w:hAnsi="Impact"/>
                <w:color w:val="000000" w:themeColor="text1"/>
                <w:sz w:val="22"/>
                <w:szCs w:val="18"/>
                <w:lang w:val="id-ID"/>
              </w:rPr>
            </w:pPr>
            <w:r w:rsidRPr="00F6077A">
              <w:rPr>
                <w:rFonts w:ascii="Impact"/>
                <w:color w:val="FFFFFF"/>
                <w:w w:val="105"/>
                <w:sz w:val="22"/>
                <w:szCs w:val="18"/>
                <w:lang w:val="id-ID"/>
              </w:rPr>
              <w:t>OUTPUT</w:t>
            </w:r>
          </w:p>
        </w:tc>
      </w:tr>
      <w:tr w:rsidR="007E4CBF" w:rsidRPr="00F6077A" w:rsidTr="00B9702C">
        <w:tblPrEx>
          <w:shd w:val="clear" w:color="auto" w:fill="auto"/>
        </w:tblPrEx>
        <w:trPr>
          <w:trHeight w:val="1210"/>
        </w:trPr>
        <w:tc>
          <w:tcPr>
            <w:tcW w:w="1559" w:type="dxa"/>
            <w:tcBorders>
              <w:right w:val="single" w:sz="4" w:space="0" w:color="2E74B5" w:themeColor="accent1" w:themeShade="BF"/>
            </w:tcBorders>
            <w:shd w:val="clear" w:color="auto" w:fill="68D5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7E4CBF">
            <w:pPr>
              <w:pStyle w:val="TableStyle1"/>
              <w:numPr>
                <w:ilvl w:val="0"/>
                <w:numId w:val="5"/>
              </w:numPr>
              <w:rPr>
                <w:rFonts w:ascii="Arial Narrow" w:eastAsia="Arial Unicode MS" w:hAnsi="Arial Narrow"/>
                <w:b/>
                <w:color w:val="222A35" w:themeColor="text2" w:themeShade="80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/>
                <w:color w:val="222A35" w:themeColor="text2" w:themeShade="80"/>
                <w:sz w:val="22"/>
                <w:szCs w:val="18"/>
                <w:lang w:val="id-ID"/>
              </w:rPr>
              <w:t>Menetapkan dan memelihara asesmen</w:t>
            </w:r>
          </w:p>
        </w:tc>
        <w:tc>
          <w:tcPr>
            <w:tcW w:w="6521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46" w:hanging="346"/>
              <w:jc w:val="both"/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Interpretasi Rencana asesmen, kemudian konfirmasikan kebijakan dan prosedur sistem asesmen serta persyaratan organisasi /hukum/etika pelaksanaan asesmen dengan orang yang relevan.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46" w:hanging="346"/>
              <w:jc w:val="both"/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Akses dan interpretasi acuan pembanding asesmen yang relevan dan perangkat asesmen yang akan digunakankan guna mememastikan bukti dan cara pengumpulan bukti.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 xml:space="preserve">Jelaskan, bahas, dan klarifikasi rincian mengenai rencana asesmen dan proses asesmen dengan asesi, termasuk kesempatan untuk melakukan penyesuaian yang beralasan, </w:t>
            </w:r>
            <w:r w:rsidRPr="00EE0658">
              <w:rPr>
                <w:rFonts w:ascii="Arial Narrow" w:hAnsi="Arial Narrow" w:cstheme="minorBidi"/>
                <w:b/>
                <w:color w:val="002060"/>
                <w:kern w:val="24"/>
                <w:sz w:val="22"/>
                <w:szCs w:val="18"/>
                <w:lang w:val="id-ID"/>
              </w:rPr>
              <w:t>asesmen ulang dan banding</w:t>
            </w: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color w:val="222A35" w:themeColor="text2" w:themeShade="80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Jika relevan, rundingkan dan sepakati,usulan perubahan terhadap proses asesmen dengan asesi.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:rsidR="007E4CBF" w:rsidRPr="00F6077A" w:rsidRDefault="007E4CBF" w:rsidP="007E4CBF">
            <w:pPr>
              <w:pStyle w:val="TableStyle2"/>
              <w:numPr>
                <w:ilvl w:val="0"/>
                <w:numId w:val="6"/>
              </w:numPr>
              <w:ind w:left="175" w:hanging="175"/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</w:pPr>
            <w:r w:rsidRPr="00F6077A"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  <w:t>Rencana asesmen</w:t>
            </w:r>
          </w:p>
          <w:p w:rsidR="007E4CBF" w:rsidRPr="00F6077A" w:rsidRDefault="007E4CBF" w:rsidP="007E4CBF">
            <w:pPr>
              <w:pStyle w:val="TableStyle2"/>
              <w:numPr>
                <w:ilvl w:val="0"/>
                <w:numId w:val="6"/>
              </w:numPr>
              <w:ind w:left="175" w:hanging="175"/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</w:pPr>
            <w:r w:rsidRPr="00F6077A"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  <w:t>Ceklis asesor</w:t>
            </w:r>
          </w:p>
          <w:p w:rsidR="007E4CBF" w:rsidRPr="00F6077A" w:rsidRDefault="007E4CBF" w:rsidP="007E4CBF">
            <w:pPr>
              <w:pStyle w:val="TableStyle2"/>
              <w:numPr>
                <w:ilvl w:val="0"/>
                <w:numId w:val="6"/>
              </w:numPr>
              <w:ind w:left="175" w:hanging="175"/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</w:pPr>
            <w:r w:rsidRPr="00F6077A"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  <w:t>Materi Uji Kompetensi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FD4317">
            <w:pPr>
              <w:pStyle w:val="TableStyle2"/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</w:pPr>
            <w:r w:rsidRPr="00F6077A"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  <w:t>Siapnya proses asesmen</w:t>
            </w:r>
          </w:p>
        </w:tc>
      </w:tr>
      <w:tr w:rsidR="007E4CBF" w:rsidRPr="00F6077A" w:rsidTr="00B9702C">
        <w:tblPrEx>
          <w:shd w:val="clear" w:color="auto" w:fill="auto"/>
        </w:tblPrEx>
        <w:trPr>
          <w:trHeight w:val="42"/>
        </w:trPr>
        <w:tc>
          <w:tcPr>
            <w:tcW w:w="1559" w:type="dxa"/>
            <w:tcBorders>
              <w:right w:val="single" w:sz="4" w:space="0" w:color="2E74B5" w:themeColor="accent1" w:themeShade="BF"/>
            </w:tcBorders>
            <w:shd w:val="clear" w:color="auto" w:fill="68D5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7E4CBF">
            <w:pPr>
              <w:pStyle w:val="TableStyle1"/>
              <w:numPr>
                <w:ilvl w:val="0"/>
                <w:numId w:val="5"/>
              </w:numPr>
              <w:rPr>
                <w:rFonts w:ascii="Arial Narrow" w:hAnsi="Arial Narrow"/>
                <w:b/>
                <w:color w:val="222A35" w:themeColor="text2" w:themeShade="80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/>
                <w:b/>
                <w:color w:val="222A35" w:themeColor="text2" w:themeShade="80"/>
                <w:sz w:val="22"/>
                <w:szCs w:val="18"/>
                <w:lang w:val="id-ID"/>
              </w:rPr>
              <w:t>Mengumpulkan bukti yang berkualitas</w:t>
            </w:r>
          </w:p>
        </w:tc>
        <w:tc>
          <w:tcPr>
            <w:tcW w:w="6521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E4F7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Ikuti rencana asesmen sebagai panduan dalam melaksanakan asesmen, guna penentuan kompetensi, metode asesmen dan perangkat asesmen digunakan untuk mengumpulkan, mengorganisasikan dan mendokumentasikan bukti dalam format yang sesuai.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Terapkan prinsip-prinsip asesmen dan aturan-aturan bukti dalam pengumpulan bukti yang berkualitas.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46" w:hanging="346"/>
              <w:jc w:val="both"/>
              <w:rPr>
                <w:rFonts w:ascii="Arial Narrow" w:hAnsi="Arial Narrow"/>
                <w:color w:val="222A35" w:themeColor="text2" w:themeShade="80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Bahas kebijakan dan prosedur sistem asesmen yang teridentifikasi dan persyaratan organisasi/ hukum/ etika untuk asesmen.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E4F7FE"/>
          </w:tcPr>
          <w:p w:rsidR="007E4CBF" w:rsidRPr="00F6077A" w:rsidRDefault="007E4CBF" w:rsidP="007E4CBF">
            <w:pPr>
              <w:pStyle w:val="TableStyle2"/>
              <w:numPr>
                <w:ilvl w:val="0"/>
                <w:numId w:val="6"/>
              </w:numPr>
              <w:ind w:left="175" w:hanging="175"/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</w:pPr>
            <w:r w:rsidRPr="00F6077A"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  <w:t>Materi Uji Kompetensi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E4F7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FD4317">
            <w:pPr>
              <w:pStyle w:val="TableStyle2"/>
              <w:rPr>
                <w:rFonts w:ascii="Arial Narrow" w:hAnsi="Arial Narrow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>Bukti berkualitas dari asesi</w:t>
            </w:r>
          </w:p>
        </w:tc>
      </w:tr>
      <w:tr w:rsidR="007E4CBF" w:rsidRPr="00F6077A" w:rsidTr="00B9702C">
        <w:tblPrEx>
          <w:shd w:val="clear" w:color="auto" w:fill="auto"/>
        </w:tblPrEx>
        <w:trPr>
          <w:trHeight w:val="280"/>
        </w:trPr>
        <w:tc>
          <w:tcPr>
            <w:tcW w:w="1559" w:type="dxa"/>
            <w:tcBorders>
              <w:right w:val="single" w:sz="4" w:space="0" w:color="2E74B5" w:themeColor="accent1" w:themeShade="BF"/>
            </w:tcBorders>
            <w:shd w:val="clear" w:color="auto" w:fill="68D5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7E4CBF">
            <w:pPr>
              <w:pStyle w:val="TableStyle1"/>
              <w:numPr>
                <w:ilvl w:val="0"/>
                <w:numId w:val="5"/>
              </w:numPr>
              <w:rPr>
                <w:rFonts w:ascii="Arial Narrow" w:hAnsi="Arial Narrow"/>
                <w:b/>
                <w:color w:val="222A35" w:themeColor="text2" w:themeShade="80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/>
                <w:b/>
                <w:color w:val="222A35" w:themeColor="text2" w:themeShade="80"/>
                <w:sz w:val="22"/>
                <w:szCs w:val="18"/>
                <w:lang w:val="id-ID"/>
              </w:rPr>
              <w:t>Mendukung asesi</w:t>
            </w:r>
          </w:p>
        </w:tc>
        <w:tc>
          <w:tcPr>
            <w:tcW w:w="6521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Bimbing asesi dalam pengumpulan bukti guna pencapaian </w:t>
            </w:r>
            <w:r w:rsidRPr="00F6077A">
              <w:rPr>
                <w:rFonts w:ascii="Arial Narrow" w:hAnsi="Arial Narrow"/>
                <w:b/>
                <w:bCs/>
                <w:sz w:val="22"/>
                <w:szCs w:val="18"/>
                <w:lang w:val="id-ID"/>
              </w:rPr>
              <w:t>pengakuan kompetensi terkini</w:t>
            </w: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>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 w:rsidRPr="00F6077A">
              <w:rPr>
                <w:rFonts w:ascii="Arial Narrow" w:hAnsi="Arial Narrow"/>
                <w:bCs/>
                <w:sz w:val="22"/>
                <w:szCs w:val="18"/>
                <w:lang w:val="id-ID"/>
              </w:rPr>
              <w:t>Gunakan</w:t>
            </w:r>
            <w:r w:rsidRPr="00F6077A">
              <w:rPr>
                <w:rFonts w:ascii="Arial Narrow" w:hAnsi="Arial Narrow"/>
                <w:b/>
                <w:bCs/>
                <w:sz w:val="22"/>
                <w:szCs w:val="18"/>
                <w:lang w:val="id-ID"/>
              </w:rPr>
              <w:t xml:space="preserve"> komunikasi</w:t>
            </w: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 yang sesuai dan </w:t>
            </w:r>
            <w:r w:rsidRPr="00F6077A">
              <w:rPr>
                <w:rFonts w:ascii="Arial Narrow" w:hAnsi="Arial Narrow"/>
                <w:b/>
                <w:bCs/>
                <w:sz w:val="22"/>
                <w:szCs w:val="18"/>
                <w:lang w:val="id-ID"/>
              </w:rPr>
              <w:t>keterampilan interpersonal</w:t>
            </w: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 untuk mengembangkan hubungan yang profesional dengan asesi, yakni hubungan yang merefleksikan kepekaan terhadap </w:t>
            </w:r>
            <w:r w:rsidRPr="00F6077A">
              <w:rPr>
                <w:rFonts w:ascii="Arial Narrow" w:hAnsi="Arial Narrow"/>
                <w:b/>
                <w:bCs/>
                <w:sz w:val="22"/>
                <w:szCs w:val="18"/>
                <w:lang w:val="id-ID"/>
              </w:rPr>
              <w:t xml:space="preserve">perbedaan individu </w:t>
            </w: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dan memungkinkan terjadinya </w:t>
            </w:r>
            <w:r w:rsidRPr="00F6077A">
              <w:rPr>
                <w:rFonts w:ascii="Arial Narrow" w:hAnsi="Arial Narrow"/>
                <w:b/>
                <w:bCs/>
                <w:sz w:val="22"/>
                <w:szCs w:val="18"/>
                <w:lang w:val="id-ID"/>
              </w:rPr>
              <w:t>umpan balik</w:t>
            </w: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 dua arah.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Bila diperlukan, buat keputusan-keputusan mengenai penyesuaian yang beralasan berdasarkan kebutuhan dan karakteristik asesi bersama asesi. 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>Buat penyesuaian-penyesuaian yang beralasan sedemikian sehingga dapat mempertahankan integritas standar kompetensi yang relevan dan memungkinkan prinsip-prinsip asesmen dan aturan bukti dapat diterapkan secara berimbang.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Bila ada, akses </w:t>
            </w:r>
            <w:r w:rsidRPr="00F6077A">
              <w:rPr>
                <w:rFonts w:ascii="Arial Narrow" w:hAnsi="Arial Narrow"/>
                <w:b/>
                <w:bCs/>
                <w:sz w:val="22"/>
                <w:szCs w:val="18"/>
                <w:lang w:val="id-ID"/>
              </w:rPr>
              <w:t xml:space="preserve">dukungan spesialis </w:t>
            </w: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>sesuai rencana asesmen.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>Tanggulangi risiko kesehatan dan keselamatan kerja apa pun terhadap orang atau peralatan dengan segera.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:rsidR="007E4CBF" w:rsidRPr="00F6077A" w:rsidRDefault="007E4CBF" w:rsidP="007E4CBF">
            <w:pPr>
              <w:pStyle w:val="TableStyle2"/>
              <w:numPr>
                <w:ilvl w:val="0"/>
                <w:numId w:val="6"/>
              </w:numPr>
              <w:ind w:left="175" w:hanging="175"/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</w:pPr>
            <w:r w:rsidRPr="00F6077A"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  <w:t>Materi Uji Kompetensi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FD4317">
            <w:pPr>
              <w:rPr>
                <w:rFonts w:ascii="Arial Narrow" w:hAnsi="Arial Narrow"/>
                <w:szCs w:val="18"/>
                <w:lang w:val="id-ID"/>
              </w:rPr>
            </w:pPr>
            <w:r w:rsidRPr="00F6077A">
              <w:rPr>
                <w:rFonts w:ascii="Arial Narrow" w:hAnsi="Arial Narrow"/>
                <w:szCs w:val="18"/>
                <w:lang w:val="id-ID"/>
              </w:rPr>
              <w:t>Bukti berkualitas dari asesi</w:t>
            </w:r>
          </w:p>
        </w:tc>
      </w:tr>
      <w:tr w:rsidR="007E4CBF" w:rsidRPr="00F6077A" w:rsidTr="00B9702C">
        <w:tblPrEx>
          <w:shd w:val="clear" w:color="auto" w:fill="auto"/>
        </w:tblPrEx>
        <w:trPr>
          <w:trHeight w:val="280"/>
        </w:trPr>
        <w:tc>
          <w:tcPr>
            <w:tcW w:w="1559" w:type="dxa"/>
            <w:tcBorders>
              <w:right w:val="single" w:sz="4" w:space="0" w:color="2E74B5" w:themeColor="accent1" w:themeShade="BF"/>
            </w:tcBorders>
            <w:shd w:val="clear" w:color="auto" w:fill="68D5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7E4CBF">
            <w:pPr>
              <w:pStyle w:val="TableStyle1"/>
              <w:numPr>
                <w:ilvl w:val="0"/>
                <w:numId w:val="5"/>
              </w:numPr>
              <w:rPr>
                <w:rFonts w:ascii="Arial Narrow" w:hAnsi="Arial Narrow"/>
                <w:b/>
                <w:color w:val="222A35" w:themeColor="text2" w:themeShade="80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/>
                <w:color w:val="222A35" w:themeColor="text2" w:themeShade="80"/>
                <w:sz w:val="22"/>
                <w:szCs w:val="18"/>
                <w:lang w:val="id-ID"/>
              </w:rPr>
              <w:t>Membuat keputusan asesmen</w:t>
            </w:r>
          </w:p>
        </w:tc>
        <w:tc>
          <w:tcPr>
            <w:tcW w:w="6521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 w:rsidRPr="00F6077A">
              <w:rPr>
                <w:rFonts w:ascii="Arial Narrow" w:hAnsi="Arial Narrow"/>
                <w:bCs/>
                <w:sz w:val="22"/>
                <w:szCs w:val="18"/>
                <w:lang w:val="id-ID"/>
              </w:rPr>
              <w:t xml:space="preserve">Identifikasi </w:t>
            </w:r>
            <w:r w:rsidRPr="00F6077A">
              <w:rPr>
                <w:rFonts w:ascii="Arial Narrow" w:hAnsi="Arial Narrow"/>
                <w:b/>
                <w:bCs/>
                <w:sz w:val="22"/>
                <w:szCs w:val="18"/>
                <w:lang w:val="id-ID"/>
              </w:rPr>
              <w:t>keterbatasan</w:t>
            </w: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 perolehan dan evaluasi bukti yang berkualitas dan bila perlu minta arahan dari orang yang relevan.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>Periksa dan evaluasi bukti yang telah terkumpul untuk memastikan bahwa bukti tersebut dapat merefleksikan bukti yang diperlukan dalam memperlihatkan kompetensi dan:</w:t>
            </w:r>
          </w:p>
          <w:p w:rsidR="007E4CBF" w:rsidRPr="00F6077A" w:rsidRDefault="00B9702C" w:rsidP="00B9702C">
            <w:pPr>
              <w:pStyle w:val="Default"/>
              <w:ind w:left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4.2.1. </w:t>
            </w:r>
            <w:r w:rsidR="007E4CBF"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mencakupi </w:t>
            </w:r>
            <w:r w:rsidR="007E4CBF" w:rsidRPr="00F6077A">
              <w:rPr>
                <w:rFonts w:ascii="Arial Narrow" w:hAnsi="Arial Narrow"/>
                <w:b/>
                <w:bCs/>
                <w:sz w:val="22"/>
                <w:szCs w:val="18"/>
                <w:lang w:val="id-ID"/>
              </w:rPr>
              <w:t xml:space="preserve">seluruh bagian komponen standar kompetensi </w:t>
            </w:r>
            <w:r w:rsidR="007E4CBF"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yang </w:t>
            </w:r>
            <w:r w:rsidR="007E4CBF" w:rsidRPr="00F6077A">
              <w:rPr>
                <w:rFonts w:ascii="Arial Narrow" w:hAnsi="Arial Narrow"/>
                <w:sz w:val="22"/>
                <w:szCs w:val="18"/>
                <w:lang w:val="id-ID"/>
              </w:rPr>
              <w:lastRenderedPageBreak/>
              <w:t>dijadikan acuan pembanding asesmen dan dimensi kompetensi</w:t>
            </w:r>
          </w:p>
          <w:p w:rsidR="007E4CBF" w:rsidRPr="00F6077A" w:rsidRDefault="00B9702C" w:rsidP="00B9702C">
            <w:pPr>
              <w:pStyle w:val="Default"/>
              <w:ind w:left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4.2.2 </w:t>
            </w:r>
            <w:proofErr w:type="gramStart"/>
            <w:r w:rsidR="007E4CBF" w:rsidRPr="00F6077A">
              <w:rPr>
                <w:rFonts w:ascii="Arial Narrow" w:hAnsi="Arial Narrow"/>
                <w:sz w:val="22"/>
                <w:szCs w:val="18"/>
                <w:lang w:val="id-ID"/>
              </w:rPr>
              <w:t>memperhatikan</w:t>
            </w:r>
            <w:proofErr w:type="gramEnd"/>
            <w:r w:rsidR="007E4CBF"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 </w:t>
            </w:r>
            <w:r w:rsidR="007E4CBF" w:rsidRPr="00F6077A">
              <w:rPr>
                <w:rFonts w:ascii="Arial Narrow" w:hAnsi="Arial Narrow"/>
                <w:b/>
                <w:bCs/>
                <w:sz w:val="22"/>
                <w:szCs w:val="18"/>
                <w:lang w:val="id-ID"/>
              </w:rPr>
              <w:t xml:space="preserve">dokumentasi terkait </w:t>
            </w:r>
            <w:r w:rsidR="007E4CBF" w:rsidRPr="00F6077A">
              <w:rPr>
                <w:rFonts w:ascii="Arial Narrow" w:hAnsi="Arial Narrow"/>
                <w:sz w:val="22"/>
                <w:szCs w:val="18"/>
                <w:lang w:val="id-ID"/>
              </w:rPr>
              <w:t>lainnya.</w:t>
            </w:r>
          </w:p>
          <w:p w:rsidR="007E4CBF" w:rsidRPr="00F6077A" w:rsidRDefault="00B9702C" w:rsidP="00B9702C">
            <w:pPr>
              <w:pStyle w:val="Default"/>
              <w:ind w:left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>
              <w:rPr>
                <w:rFonts w:ascii="Arial Narrow" w:hAnsi="Arial Narrow"/>
                <w:sz w:val="22"/>
                <w:szCs w:val="18"/>
              </w:rPr>
              <w:t>4.2.3</w:t>
            </w:r>
            <w:proofErr w:type="gramStart"/>
            <w:r>
              <w:rPr>
                <w:rFonts w:ascii="Arial Narrow" w:hAnsi="Arial Narrow"/>
                <w:sz w:val="22"/>
                <w:szCs w:val="18"/>
              </w:rPr>
              <w:t>.</w:t>
            </w:r>
            <w:r w:rsidR="007E4CBF" w:rsidRPr="00F6077A">
              <w:rPr>
                <w:rFonts w:ascii="Arial Narrow" w:hAnsi="Arial Narrow"/>
                <w:sz w:val="22"/>
                <w:szCs w:val="18"/>
                <w:lang w:val="id-ID"/>
              </w:rPr>
              <w:t>memenuhi</w:t>
            </w:r>
            <w:proofErr w:type="gramEnd"/>
            <w:r w:rsidR="007E4CBF"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 aturan bukti. 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 w:rsidRPr="00F6077A">
              <w:rPr>
                <w:rFonts w:ascii="Arial Narrow" w:hAnsi="Arial Narrow"/>
                <w:b/>
                <w:bCs/>
                <w:sz w:val="22"/>
                <w:szCs w:val="18"/>
                <w:lang w:val="id-ID"/>
              </w:rPr>
              <w:t xml:space="preserve">Gunakan pertimbangan berdasarkan prinsip asesmen dan aturan bukti </w:t>
            </w: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untuk </w:t>
            </w:r>
            <w:r w:rsidRPr="00F6077A">
              <w:rPr>
                <w:rFonts w:ascii="Arial Narrow" w:hAnsi="Arial Narrow"/>
                <w:b/>
                <w:bCs/>
                <w:sz w:val="22"/>
                <w:szCs w:val="18"/>
                <w:lang w:val="id-ID"/>
              </w:rPr>
              <w:t xml:space="preserve">memutuskan </w:t>
            </w: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>pencapaian kompetensi yang telah didemonstrasikan asesi berdasarkan bukti yang dikumpulkan.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>Gunakan dalam membuat keputusan asesmen, kebijakan dan prosedur sistem asesmen yang relevan dan pertimbangan-pertimbangan organisasi/hukum/etika digunakan.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sz w:val="22"/>
                <w:szCs w:val="18"/>
                <w:lang w:val="id-ID" w:bidi="en-US"/>
              </w:rPr>
            </w:pP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 xml:space="preserve">Berikan umpan balik yang jelas dan membangun terkait keputusan asesmen kepada asesi, dan bila perlu kemukakan pula </w:t>
            </w:r>
            <w:r w:rsidRPr="00F6077A">
              <w:rPr>
                <w:rFonts w:ascii="Arial Narrow" w:hAnsi="Arial Narrow"/>
                <w:b/>
                <w:bCs/>
                <w:sz w:val="22"/>
                <w:szCs w:val="18"/>
                <w:lang w:val="id-ID"/>
              </w:rPr>
              <w:t>rencana tindak lanjut</w:t>
            </w:r>
            <w:r w:rsidRPr="00F6077A">
              <w:rPr>
                <w:rFonts w:ascii="Arial Narrow" w:hAnsi="Arial Narrow"/>
                <w:sz w:val="22"/>
                <w:szCs w:val="18"/>
                <w:lang w:val="id-ID"/>
              </w:rPr>
              <w:t>.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:rsidR="007E4CBF" w:rsidRPr="00F6077A" w:rsidRDefault="007E4CBF" w:rsidP="007E4CBF">
            <w:pPr>
              <w:pStyle w:val="TableStyle2"/>
              <w:numPr>
                <w:ilvl w:val="0"/>
                <w:numId w:val="6"/>
              </w:numPr>
              <w:ind w:left="175" w:hanging="175"/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</w:pPr>
            <w:r w:rsidRPr="00F6077A"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  <w:lastRenderedPageBreak/>
              <w:t>Materi Uji Kompetensi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FD4317">
            <w:pPr>
              <w:rPr>
                <w:rFonts w:ascii="Arial Narrow" w:hAnsi="Arial Narrow"/>
                <w:szCs w:val="18"/>
                <w:lang w:val="id-ID"/>
              </w:rPr>
            </w:pPr>
            <w:r w:rsidRPr="00F6077A">
              <w:rPr>
                <w:rFonts w:ascii="Arial Narrow" w:hAnsi="Arial Narrow"/>
                <w:szCs w:val="18"/>
                <w:lang w:val="id-ID"/>
              </w:rPr>
              <w:t>Keputusan asesmen</w:t>
            </w:r>
          </w:p>
        </w:tc>
      </w:tr>
      <w:tr w:rsidR="007E4CBF" w:rsidRPr="00F6077A" w:rsidTr="00B9702C">
        <w:tblPrEx>
          <w:shd w:val="clear" w:color="auto" w:fill="auto"/>
        </w:tblPrEx>
        <w:trPr>
          <w:trHeight w:val="280"/>
        </w:trPr>
        <w:tc>
          <w:tcPr>
            <w:tcW w:w="1559" w:type="dxa"/>
            <w:tcBorders>
              <w:right w:val="single" w:sz="4" w:space="0" w:color="2E74B5" w:themeColor="accent1" w:themeShade="BF"/>
            </w:tcBorders>
            <w:shd w:val="clear" w:color="auto" w:fill="68D5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7E4CBF">
            <w:pPr>
              <w:pStyle w:val="TableStyle1"/>
              <w:numPr>
                <w:ilvl w:val="0"/>
                <w:numId w:val="5"/>
              </w:numPr>
              <w:rPr>
                <w:color w:val="222A35" w:themeColor="text2" w:themeShade="80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/>
                <w:color w:val="222A35" w:themeColor="text2" w:themeShade="80"/>
                <w:sz w:val="22"/>
                <w:szCs w:val="18"/>
                <w:lang w:val="id-ID"/>
              </w:rPr>
              <w:lastRenderedPageBreak/>
              <w:t>Merekam dan melaporkan keputusan asesmen</w:t>
            </w:r>
          </w:p>
        </w:tc>
        <w:tc>
          <w:tcPr>
            <w:tcW w:w="6521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5" w:hanging="346"/>
              <w:jc w:val="both"/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Segera catat hasil asesmen secara akurat sesuai dengan kebijakan dan prosedur sistem asesmen serta persyaratan organisasi/ hukum/ etika.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5" w:hanging="346"/>
              <w:jc w:val="both"/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Lengkapi dan proses laporan asesmen sesuai dengan kebijakan dan prosedur sistem asesmen serta persyaratan organisasi/ hukum/ etika.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5" w:hanging="346"/>
              <w:jc w:val="both"/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Bila diperlukan, serahkan rekomendasi tindak lanjut kepada orang yang relevan.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5" w:hanging="346"/>
              <w:jc w:val="both"/>
              <w:rPr>
                <w:rFonts w:ascii="Arial Narrow" w:hAnsi="Arial Narrow"/>
                <w:color w:val="222A35" w:themeColor="text2" w:themeShade="80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Bila diperlukan, beritahu dengan memperhatikan ketentuan kerahasiaan, pihak-pihak terkait lainnya tentang keputusan asesmen.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:rsidR="007E4CBF" w:rsidRPr="00F6077A" w:rsidRDefault="007E4CBF" w:rsidP="007E4CBF">
            <w:pPr>
              <w:pStyle w:val="TableStyle2"/>
              <w:numPr>
                <w:ilvl w:val="0"/>
                <w:numId w:val="6"/>
              </w:numPr>
              <w:ind w:left="175" w:hanging="175"/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</w:pPr>
            <w:r w:rsidRPr="00F6077A"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  <w:t>Formulir dan rekaman laporan keputusan asesmen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FD4317">
            <w:pPr>
              <w:rPr>
                <w:rFonts w:ascii="Arial Narrow" w:hAnsi="Arial Narrow"/>
                <w:szCs w:val="18"/>
                <w:lang w:val="id-ID"/>
              </w:rPr>
            </w:pPr>
            <w:r w:rsidRPr="00F6077A">
              <w:rPr>
                <w:rFonts w:ascii="Arial Narrow" w:hAnsi="Arial Narrow" w:cs="Arial Unicode MS"/>
                <w:szCs w:val="18"/>
                <w:lang w:val="id-ID"/>
              </w:rPr>
              <w:t>Rekaman dan laporan keputusan asesmen</w:t>
            </w:r>
          </w:p>
        </w:tc>
      </w:tr>
      <w:tr w:rsidR="007E4CBF" w:rsidRPr="00F6077A" w:rsidTr="00B9702C">
        <w:tblPrEx>
          <w:shd w:val="clear" w:color="auto" w:fill="auto"/>
        </w:tblPrEx>
        <w:trPr>
          <w:trHeight w:val="280"/>
        </w:trPr>
        <w:tc>
          <w:tcPr>
            <w:tcW w:w="1559" w:type="dxa"/>
            <w:tcBorders>
              <w:right w:val="single" w:sz="4" w:space="0" w:color="2E74B5" w:themeColor="accent1" w:themeShade="BF"/>
            </w:tcBorders>
            <w:shd w:val="clear" w:color="auto" w:fill="68D5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7E4CBF">
            <w:pPr>
              <w:pStyle w:val="TableStyle1"/>
              <w:numPr>
                <w:ilvl w:val="0"/>
                <w:numId w:val="5"/>
              </w:numPr>
              <w:rPr>
                <w:color w:val="222A35" w:themeColor="text2" w:themeShade="80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/>
                <w:color w:val="222A35" w:themeColor="text2" w:themeShade="80"/>
                <w:sz w:val="22"/>
                <w:szCs w:val="18"/>
                <w:lang w:val="id-ID"/>
              </w:rPr>
              <w:t>Meninjau proses asesmen</w:t>
            </w:r>
          </w:p>
        </w:tc>
        <w:tc>
          <w:tcPr>
            <w:tcW w:w="6521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Tinjau proses asesmen berdasarkan kriteria yang ada melalui konsultasi dengan orang yang relevan guna perbaikan dan perubahan pelaksanaan asesmen di masa datang.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Dokumentasi dan rekam tinjauan sesuai dengan kebijakan dan prosedur sistem asesmen yang relevan serta persyaratan organisasi/hukum/etika.</w:t>
            </w:r>
          </w:p>
          <w:p w:rsidR="007E4CBF" w:rsidRPr="00F6077A" w:rsidRDefault="007E4CBF" w:rsidP="007E4CBF">
            <w:pPr>
              <w:pStyle w:val="Default"/>
              <w:numPr>
                <w:ilvl w:val="1"/>
                <w:numId w:val="5"/>
              </w:numPr>
              <w:ind w:left="346" w:hanging="346"/>
              <w:jc w:val="both"/>
              <w:rPr>
                <w:rFonts w:ascii="Arial Narrow" w:hAnsi="Arial Narrow"/>
                <w:color w:val="222A35" w:themeColor="text2" w:themeShade="80"/>
                <w:sz w:val="22"/>
                <w:szCs w:val="18"/>
                <w:lang w:val="id-ID"/>
              </w:rPr>
            </w:pPr>
            <w:r w:rsidRPr="00F6077A">
              <w:rPr>
                <w:rFonts w:ascii="Arial Narrow" w:hAnsi="Arial Narrow" w:cstheme="minorBidi"/>
                <w:color w:val="222A35" w:themeColor="text2" w:themeShade="80"/>
                <w:kern w:val="24"/>
                <w:sz w:val="22"/>
                <w:szCs w:val="18"/>
                <w:lang w:val="id-ID"/>
              </w:rPr>
              <w:t>Gunakan keterampilan kematangan berfikir (refleksi) secara mandiri untuk meninjau dan mengevaluasi praktek asesmen.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:rsidR="007E4CBF" w:rsidRPr="00F6077A" w:rsidRDefault="007E4CBF" w:rsidP="007E4CBF">
            <w:pPr>
              <w:pStyle w:val="TableStyle2"/>
              <w:numPr>
                <w:ilvl w:val="0"/>
                <w:numId w:val="6"/>
              </w:numPr>
              <w:ind w:left="175" w:hanging="175"/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</w:pPr>
            <w:r w:rsidRPr="00F6077A">
              <w:rPr>
                <w:rFonts w:ascii="Arial Narrow" w:eastAsia="Arial Unicode MS" w:hAnsi="Arial Narrow" w:cs="Arial Unicode MS"/>
                <w:sz w:val="22"/>
                <w:szCs w:val="18"/>
                <w:lang w:val="id-ID"/>
              </w:rPr>
              <w:t>Formulir meninjau proses asesmen</w:t>
            </w:r>
          </w:p>
        </w:tc>
        <w:tc>
          <w:tcPr>
            <w:tcW w:w="1134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CBF" w:rsidRPr="00F6077A" w:rsidRDefault="007E4CBF" w:rsidP="00F6077A">
            <w:pPr>
              <w:rPr>
                <w:rFonts w:ascii="Arial Narrow" w:hAnsi="Arial Narrow"/>
                <w:szCs w:val="18"/>
                <w:lang w:val="id-ID"/>
              </w:rPr>
            </w:pPr>
            <w:r w:rsidRPr="00F6077A">
              <w:rPr>
                <w:rFonts w:ascii="Arial Narrow" w:hAnsi="Arial Narrow" w:cs="Arial Unicode MS"/>
                <w:szCs w:val="18"/>
                <w:lang w:val="id-ID"/>
              </w:rPr>
              <w:t>Hasil tinjauan proses asesmen</w:t>
            </w:r>
          </w:p>
        </w:tc>
      </w:tr>
    </w:tbl>
    <w:p w:rsidR="007E4CBF" w:rsidRPr="00F6077A" w:rsidRDefault="007E4CBF" w:rsidP="00FD4317">
      <w:pPr>
        <w:pStyle w:val="Title"/>
        <w:spacing w:after="0" w:line="240" w:lineRule="auto"/>
        <w:jc w:val="both"/>
        <w:rPr>
          <w:rFonts w:ascii="Arial Narrow" w:hAnsi="Arial Narrow" w:cs="Arial"/>
          <w:sz w:val="22"/>
          <w:szCs w:val="18"/>
          <w:lang w:val="id-ID"/>
        </w:rPr>
      </w:pPr>
    </w:p>
    <w:p w:rsidR="00EB0104" w:rsidRPr="000D3355" w:rsidRDefault="00EB0104" w:rsidP="000D3355">
      <w:pPr>
        <w:rPr>
          <w:rFonts w:ascii="Arial Narrow" w:hAnsi="Arial Narrow"/>
          <w:lang w:val="id-ID"/>
        </w:rPr>
      </w:pPr>
    </w:p>
    <w:sectPr w:rsidR="00EB0104" w:rsidRPr="000D3355" w:rsidSect="001019FE">
      <w:headerReference w:type="default" r:id="rId7"/>
      <w:foot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21C" w:rsidRDefault="00F6021C" w:rsidP="00B45FB5">
      <w:r>
        <w:separator/>
      </w:r>
    </w:p>
  </w:endnote>
  <w:endnote w:type="continuationSeparator" w:id="0">
    <w:p w:rsidR="00F6021C" w:rsidRDefault="00F6021C" w:rsidP="00B45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00"/>
    <w:family w:val="swiss"/>
    <w:pitch w:val="variable"/>
    <w:sig w:usb0="00000001" w:usb1="5000205B" w:usb2="00000002" w:usb3="00000000" w:csb0="0000009B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7A" w:rsidRDefault="00B9702C">
    <w:pPr>
      <w:pStyle w:val="HeaderFooter"/>
      <w:tabs>
        <w:tab w:val="clear" w:pos="9020"/>
        <w:tab w:val="center" w:pos="4750"/>
        <w:tab w:val="right" w:pos="950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21C" w:rsidRDefault="00F6021C" w:rsidP="00B45FB5">
      <w:r>
        <w:separator/>
      </w:r>
    </w:p>
  </w:footnote>
  <w:footnote w:type="continuationSeparator" w:id="0">
    <w:p w:rsidR="00F6021C" w:rsidRDefault="00F6021C" w:rsidP="00B45F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7A" w:rsidRDefault="009F14C9">
    <w:pPr>
      <w:pStyle w:val="HeaderFooter"/>
      <w:tabs>
        <w:tab w:val="clear" w:pos="9020"/>
        <w:tab w:val="center" w:pos="4750"/>
        <w:tab w:val="right" w:pos="9500"/>
      </w:tabs>
    </w:pPr>
    <w:r w:rsidRPr="009F14C9">
      <w:rPr>
        <w:noProof/>
      </w:rPr>
      <w:drawing>
        <wp:inline distT="0" distB="0" distL="0" distR="0">
          <wp:extent cx="1346819" cy="45974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270" cy="4643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6077A" w:rsidRDefault="00B9702C">
    <w:pPr>
      <w:pStyle w:val="HeaderFooter"/>
      <w:tabs>
        <w:tab w:val="clear" w:pos="9020"/>
        <w:tab w:val="center" w:pos="4750"/>
        <w:tab w:val="right" w:pos="95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B224E2"/>
    <w:multiLevelType w:val="hybridMultilevel"/>
    <w:tmpl w:val="6B9CB0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945E04"/>
    <w:multiLevelType w:val="hybridMultilevel"/>
    <w:tmpl w:val="1B9EED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A3191D"/>
    <w:multiLevelType w:val="hybridMultilevel"/>
    <w:tmpl w:val="276CD064"/>
    <w:lvl w:ilvl="0" w:tplc="4D704460">
      <w:start w:val="1"/>
      <w:numFmt w:val="decimal"/>
      <w:lvlText w:val="4.1.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859F5"/>
    <w:multiLevelType w:val="hybridMultilevel"/>
    <w:tmpl w:val="3D487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4036C"/>
    <w:multiLevelType w:val="hybridMultilevel"/>
    <w:tmpl w:val="DEA28C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6D92236"/>
    <w:multiLevelType w:val="hybridMultilevel"/>
    <w:tmpl w:val="1B9EED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E880CD8"/>
    <w:multiLevelType w:val="multilevel"/>
    <w:tmpl w:val="663EB45A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0CB7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A128E"/>
    <w:rsid w:val="000D3355"/>
    <w:rsid w:val="000D68B4"/>
    <w:rsid w:val="00105ABF"/>
    <w:rsid w:val="00111120"/>
    <w:rsid w:val="0011408A"/>
    <w:rsid w:val="00123840"/>
    <w:rsid w:val="00130140"/>
    <w:rsid w:val="00130ABE"/>
    <w:rsid w:val="00137F01"/>
    <w:rsid w:val="00146D86"/>
    <w:rsid w:val="00160E6E"/>
    <w:rsid w:val="00161CE9"/>
    <w:rsid w:val="001663AE"/>
    <w:rsid w:val="00172A91"/>
    <w:rsid w:val="001731A1"/>
    <w:rsid w:val="00181979"/>
    <w:rsid w:val="00192A82"/>
    <w:rsid w:val="001B6CFC"/>
    <w:rsid w:val="001C0E00"/>
    <w:rsid w:val="001C0E08"/>
    <w:rsid w:val="001C6983"/>
    <w:rsid w:val="001E0E81"/>
    <w:rsid w:val="001F452B"/>
    <w:rsid w:val="00200E73"/>
    <w:rsid w:val="0020553A"/>
    <w:rsid w:val="00215597"/>
    <w:rsid w:val="002329C1"/>
    <w:rsid w:val="00232D2F"/>
    <w:rsid w:val="0023742E"/>
    <w:rsid w:val="00241752"/>
    <w:rsid w:val="00253E0C"/>
    <w:rsid w:val="00261EBD"/>
    <w:rsid w:val="0027230A"/>
    <w:rsid w:val="00291399"/>
    <w:rsid w:val="0029177E"/>
    <w:rsid w:val="002B7D66"/>
    <w:rsid w:val="002F7D0B"/>
    <w:rsid w:val="003443E9"/>
    <w:rsid w:val="003A2FC1"/>
    <w:rsid w:val="003A4704"/>
    <w:rsid w:val="003B19D9"/>
    <w:rsid w:val="003B1D29"/>
    <w:rsid w:val="003B7672"/>
    <w:rsid w:val="003C0CD9"/>
    <w:rsid w:val="003D27C3"/>
    <w:rsid w:val="003D7829"/>
    <w:rsid w:val="003E73E4"/>
    <w:rsid w:val="00422083"/>
    <w:rsid w:val="00443222"/>
    <w:rsid w:val="0045488E"/>
    <w:rsid w:val="00474F99"/>
    <w:rsid w:val="00475CA2"/>
    <w:rsid w:val="0049551A"/>
    <w:rsid w:val="004B5A43"/>
    <w:rsid w:val="004C0688"/>
    <w:rsid w:val="004E5BC4"/>
    <w:rsid w:val="004E5FC8"/>
    <w:rsid w:val="004F6E33"/>
    <w:rsid w:val="0054667F"/>
    <w:rsid w:val="005803BF"/>
    <w:rsid w:val="00591D0E"/>
    <w:rsid w:val="00593ABA"/>
    <w:rsid w:val="005D2B5B"/>
    <w:rsid w:val="005E77BE"/>
    <w:rsid w:val="00607147"/>
    <w:rsid w:val="00616F38"/>
    <w:rsid w:val="0061772D"/>
    <w:rsid w:val="00637084"/>
    <w:rsid w:val="00643F6F"/>
    <w:rsid w:val="00650778"/>
    <w:rsid w:val="00650F33"/>
    <w:rsid w:val="006821A8"/>
    <w:rsid w:val="006B71E0"/>
    <w:rsid w:val="006C46DD"/>
    <w:rsid w:val="006F383D"/>
    <w:rsid w:val="00702A26"/>
    <w:rsid w:val="0071546F"/>
    <w:rsid w:val="0072073E"/>
    <w:rsid w:val="007246A9"/>
    <w:rsid w:val="00732D37"/>
    <w:rsid w:val="007444AB"/>
    <w:rsid w:val="00745625"/>
    <w:rsid w:val="00746251"/>
    <w:rsid w:val="00754670"/>
    <w:rsid w:val="00765335"/>
    <w:rsid w:val="0077098C"/>
    <w:rsid w:val="007808C6"/>
    <w:rsid w:val="00781C38"/>
    <w:rsid w:val="007850E6"/>
    <w:rsid w:val="00793058"/>
    <w:rsid w:val="007A0317"/>
    <w:rsid w:val="007A7C43"/>
    <w:rsid w:val="007B6232"/>
    <w:rsid w:val="007E2422"/>
    <w:rsid w:val="007E4CBF"/>
    <w:rsid w:val="007E67E5"/>
    <w:rsid w:val="007F35A3"/>
    <w:rsid w:val="00811C10"/>
    <w:rsid w:val="00832E4D"/>
    <w:rsid w:val="00842D68"/>
    <w:rsid w:val="00846086"/>
    <w:rsid w:val="00855C6A"/>
    <w:rsid w:val="008713CB"/>
    <w:rsid w:val="00891C1D"/>
    <w:rsid w:val="008A06EC"/>
    <w:rsid w:val="008A729B"/>
    <w:rsid w:val="008B30A5"/>
    <w:rsid w:val="008B45AE"/>
    <w:rsid w:val="008D3C75"/>
    <w:rsid w:val="008D4821"/>
    <w:rsid w:val="008E0CB7"/>
    <w:rsid w:val="008E4037"/>
    <w:rsid w:val="008F14DF"/>
    <w:rsid w:val="008F1DF7"/>
    <w:rsid w:val="00900EBF"/>
    <w:rsid w:val="009100E5"/>
    <w:rsid w:val="00935CB1"/>
    <w:rsid w:val="00936210"/>
    <w:rsid w:val="0094239B"/>
    <w:rsid w:val="009438BA"/>
    <w:rsid w:val="0094698D"/>
    <w:rsid w:val="00946D02"/>
    <w:rsid w:val="00980527"/>
    <w:rsid w:val="009A0801"/>
    <w:rsid w:val="009A1C2B"/>
    <w:rsid w:val="009A6D05"/>
    <w:rsid w:val="009B2143"/>
    <w:rsid w:val="009D0775"/>
    <w:rsid w:val="009F14C9"/>
    <w:rsid w:val="009F3DD1"/>
    <w:rsid w:val="00A0074A"/>
    <w:rsid w:val="00A30D10"/>
    <w:rsid w:val="00A33EB8"/>
    <w:rsid w:val="00A417B9"/>
    <w:rsid w:val="00A64536"/>
    <w:rsid w:val="00A66CE1"/>
    <w:rsid w:val="00A8486B"/>
    <w:rsid w:val="00A9546D"/>
    <w:rsid w:val="00A95DE6"/>
    <w:rsid w:val="00AA5B0D"/>
    <w:rsid w:val="00AB4302"/>
    <w:rsid w:val="00AD1863"/>
    <w:rsid w:val="00AD2369"/>
    <w:rsid w:val="00AE45EB"/>
    <w:rsid w:val="00AF0390"/>
    <w:rsid w:val="00AF12DA"/>
    <w:rsid w:val="00B03589"/>
    <w:rsid w:val="00B118C4"/>
    <w:rsid w:val="00B175A3"/>
    <w:rsid w:val="00B379D4"/>
    <w:rsid w:val="00B41904"/>
    <w:rsid w:val="00B45FB5"/>
    <w:rsid w:val="00B638ED"/>
    <w:rsid w:val="00B7220C"/>
    <w:rsid w:val="00B860E3"/>
    <w:rsid w:val="00B9702C"/>
    <w:rsid w:val="00BB3986"/>
    <w:rsid w:val="00BC1FF5"/>
    <w:rsid w:val="00BD19BB"/>
    <w:rsid w:val="00C02806"/>
    <w:rsid w:val="00C12894"/>
    <w:rsid w:val="00C13C6F"/>
    <w:rsid w:val="00C17F66"/>
    <w:rsid w:val="00C20A64"/>
    <w:rsid w:val="00C50C3A"/>
    <w:rsid w:val="00C5103B"/>
    <w:rsid w:val="00C920E5"/>
    <w:rsid w:val="00C92AD4"/>
    <w:rsid w:val="00C9726B"/>
    <w:rsid w:val="00CA6718"/>
    <w:rsid w:val="00CB1683"/>
    <w:rsid w:val="00CB7C9F"/>
    <w:rsid w:val="00CD37DB"/>
    <w:rsid w:val="00D129A5"/>
    <w:rsid w:val="00D34771"/>
    <w:rsid w:val="00D7458F"/>
    <w:rsid w:val="00D74FF6"/>
    <w:rsid w:val="00DE71FD"/>
    <w:rsid w:val="00DF2F19"/>
    <w:rsid w:val="00DF530C"/>
    <w:rsid w:val="00E07F94"/>
    <w:rsid w:val="00E10C3C"/>
    <w:rsid w:val="00E118B0"/>
    <w:rsid w:val="00E12677"/>
    <w:rsid w:val="00E364DF"/>
    <w:rsid w:val="00E54EB1"/>
    <w:rsid w:val="00E87804"/>
    <w:rsid w:val="00E92E2D"/>
    <w:rsid w:val="00EA65BB"/>
    <w:rsid w:val="00EB0104"/>
    <w:rsid w:val="00EC030E"/>
    <w:rsid w:val="00EC1EAC"/>
    <w:rsid w:val="00EC49AC"/>
    <w:rsid w:val="00EE019F"/>
    <w:rsid w:val="00EE0658"/>
    <w:rsid w:val="00EF6BF5"/>
    <w:rsid w:val="00EF7CA1"/>
    <w:rsid w:val="00F0194F"/>
    <w:rsid w:val="00F05202"/>
    <w:rsid w:val="00F072D8"/>
    <w:rsid w:val="00F123E8"/>
    <w:rsid w:val="00F16102"/>
    <w:rsid w:val="00F322B6"/>
    <w:rsid w:val="00F40E95"/>
    <w:rsid w:val="00F4252C"/>
    <w:rsid w:val="00F5359C"/>
    <w:rsid w:val="00F6021C"/>
    <w:rsid w:val="00F734E7"/>
    <w:rsid w:val="00F738A5"/>
    <w:rsid w:val="00FA640D"/>
    <w:rsid w:val="00FD455F"/>
    <w:rsid w:val="00FE1CDA"/>
    <w:rsid w:val="00FF4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FB5"/>
  </w:style>
  <w:style w:type="paragraph" w:styleId="Heading5">
    <w:name w:val="heading 5"/>
    <w:basedOn w:val="Normal"/>
    <w:next w:val="Normal"/>
    <w:link w:val="Heading5Char"/>
    <w:qFormat/>
    <w:rsid w:val="00EF7CA1"/>
    <w:pPr>
      <w:keepNext/>
      <w:jc w:val="center"/>
      <w:outlineLvl w:val="4"/>
    </w:pPr>
    <w:rPr>
      <w:rFonts w:ascii="Arial" w:eastAsia="Times New Roman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0C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E0C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42D6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EF7CA1"/>
    <w:rPr>
      <w:rFonts w:ascii="Arial" w:eastAsia="Times New Roman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rsid w:val="00EF7CA1"/>
    <w:pPr>
      <w:tabs>
        <w:tab w:val="center" w:pos="4320"/>
        <w:tab w:val="right" w:pos="8640"/>
      </w:tabs>
      <w:spacing w:before="60" w:after="60" w:line="240" w:lineRule="atLeast"/>
    </w:pPr>
    <w:rPr>
      <w:rFonts w:ascii="Bookman Old Style" w:eastAsia="Times New Roman" w:hAnsi="Bookman Old Style" w:cs="Times New Roman"/>
      <w:szCs w:val="20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F7CA1"/>
    <w:rPr>
      <w:rFonts w:ascii="Bookman Old Style" w:eastAsia="Times New Roman" w:hAnsi="Bookman Old Style" w:cs="Times New Roman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EF7CA1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F7CA1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">
    <w:name w:val="Header &amp; Footer"/>
    <w:rsid w:val="007E4CB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eastAsia="Arial Unicode MS" w:hAnsi="Arial Unicode MS" w:cs="Arial Unicode MS"/>
      <w:b/>
      <w:bCs/>
      <w:color w:val="5F5F5F"/>
      <w:sz w:val="16"/>
      <w:szCs w:val="16"/>
      <w:bdr w:val="nil"/>
    </w:rPr>
  </w:style>
  <w:style w:type="paragraph" w:styleId="Title">
    <w:name w:val="Title"/>
    <w:link w:val="TitleChar"/>
    <w:rsid w:val="007E4CBF"/>
    <w:pPr>
      <w:keepNext/>
      <w:pBdr>
        <w:top w:val="nil"/>
        <w:left w:val="nil"/>
        <w:bottom w:val="nil"/>
        <w:right w:val="nil"/>
        <w:between w:val="nil"/>
        <w:bar w:val="nil"/>
      </w:pBdr>
      <w:spacing w:after="440" w:line="216" w:lineRule="auto"/>
      <w:jc w:val="center"/>
    </w:pPr>
    <w:rPr>
      <w:rFonts w:eastAsia="Arial Unicode MS" w:hAnsi="Arial Unicode MS" w:cs="Arial Unicode MS"/>
      <w:b/>
      <w:bCs/>
      <w:caps/>
      <w:color w:val="434343"/>
      <w:sz w:val="124"/>
      <w:szCs w:val="124"/>
      <w:bdr w:val="nil"/>
    </w:rPr>
  </w:style>
  <w:style w:type="character" w:customStyle="1" w:styleId="TitleChar">
    <w:name w:val="Title Char"/>
    <w:basedOn w:val="DefaultParagraphFont"/>
    <w:link w:val="Title"/>
    <w:rsid w:val="007E4CBF"/>
    <w:rPr>
      <w:rFonts w:eastAsia="Arial Unicode MS" w:hAnsi="Arial Unicode MS" w:cs="Arial Unicode MS"/>
      <w:b/>
      <w:bCs/>
      <w:caps/>
      <w:color w:val="434343"/>
      <w:sz w:val="124"/>
      <w:szCs w:val="124"/>
      <w:bdr w:val="nil"/>
    </w:rPr>
  </w:style>
  <w:style w:type="paragraph" w:customStyle="1" w:styleId="TableStyle1">
    <w:name w:val="Table Style 1"/>
    <w:rsid w:val="007E4C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Medium" w:eastAsia="Helvetica Neue Medium" w:hAnsi="Helvetica Neue Medium" w:cs="Helvetica Neue Medium"/>
      <w:color w:val="FEFFFE"/>
      <w:sz w:val="20"/>
      <w:szCs w:val="20"/>
      <w:bdr w:val="nil"/>
      <w:lang w:val="en-ID"/>
    </w:rPr>
  </w:style>
  <w:style w:type="paragraph" w:customStyle="1" w:styleId="TableStyle2">
    <w:name w:val="Table Style 2"/>
    <w:rsid w:val="007E4C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ID"/>
    </w:rPr>
  </w:style>
  <w:style w:type="paragraph" w:customStyle="1" w:styleId="p1">
    <w:name w:val="p1"/>
    <w:basedOn w:val="Normal"/>
    <w:rsid w:val="00EC49AC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C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FR.AC.02. Tinjauan Proses Asesmen</vt:lpstr>
    </vt:vector>
  </TitlesOfParts>
  <Company>Toshiba</Company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Valued Acer Customer</cp:lastModifiedBy>
  <cp:revision>5</cp:revision>
  <cp:lastPrinted>2018-09-16T02:16:00Z</cp:lastPrinted>
  <dcterms:created xsi:type="dcterms:W3CDTF">2019-04-17T15:19:00Z</dcterms:created>
  <dcterms:modified xsi:type="dcterms:W3CDTF">2019-07-21T15:19:00Z</dcterms:modified>
</cp:coreProperties>
</file>